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7E270" w14:textId="521A6E78" w:rsidR="008373D5" w:rsidRDefault="00223A65" w:rsidP="00223A65">
      <w:pPr>
        <w:jc w:val="center"/>
        <w:rPr>
          <w:b/>
          <w:bCs/>
          <w:sz w:val="28"/>
          <w:szCs w:val="28"/>
        </w:rPr>
      </w:pPr>
      <w:r w:rsidRPr="00223A65">
        <w:rPr>
          <w:b/>
          <w:bCs/>
          <w:sz w:val="28"/>
          <w:szCs w:val="28"/>
        </w:rPr>
        <w:t>Important Document Code Updates</w:t>
      </w:r>
    </w:p>
    <w:p w14:paraId="70387955" w14:textId="1D7248B3" w:rsidR="00223A65" w:rsidRPr="0098001E" w:rsidRDefault="00223A65" w:rsidP="00223A65">
      <w:pPr>
        <w:rPr>
          <w:b/>
          <w:bCs/>
        </w:rPr>
      </w:pPr>
      <w:r w:rsidRPr="0098001E">
        <w:rPr>
          <w:b/>
          <w:bCs/>
        </w:rPr>
        <w:t>Northern Ireland CHED Document Codes</w:t>
      </w:r>
    </w:p>
    <w:p w14:paraId="0D9B4D05" w14:textId="1A916B8B" w:rsidR="00223A65" w:rsidRDefault="00980C53" w:rsidP="00223A65">
      <w:r>
        <w:t>From</w:t>
      </w:r>
      <w:r w:rsidR="00223A65">
        <w:t xml:space="preserve"> September 2025, Northern Ireland CHEDs </w:t>
      </w:r>
      <w:r>
        <w:t>are being</w:t>
      </w:r>
      <w:r w:rsidR="00223A65">
        <w:t xml:space="preserve"> validated against the EU CERTEX system, and we continue to see issues with declarations failing validation.</w:t>
      </w:r>
    </w:p>
    <w:p w14:paraId="40759F03" w14:textId="051503E9" w:rsidR="004B48F5" w:rsidRDefault="004B48F5" w:rsidP="00223A65">
      <w:r>
        <w:t>Document ID</w:t>
      </w:r>
    </w:p>
    <w:p w14:paraId="2B26763B" w14:textId="78950077" w:rsidR="00223A65" w:rsidRDefault="00223A65" w:rsidP="00223A65">
      <w:r>
        <w:t xml:space="preserve">One of the main causes of the validation failures is the result of declarants failing to complete the document ID correctly. CERTEX validates the format of the document ID as well as actual number, so it is essential that declarants </w:t>
      </w:r>
      <w:r w:rsidR="004B48F5">
        <w:t xml:space="preserve">complete the document ID exactly as instructed in Appendix 5A. </w:t>
      </w:r>
      <w:r w:rsidR="008436C4">
        <w:t>The CHED reference is generated in the TRACES system and must match exactly with the reference declared on the declaration.</w:t>
      </w:r>
      <w:r w:rsidR="00F14F92">
        <w:t xml:space="preserve"> </w:t>
      </w:r>
      <w:r w:rsidR="004B48F5">
        <w:t xml:space="preserve">For instance, if declaring N853, the document ID must be declared in the format </w:t>
      </w:r>
      <w:bookmarkStart w:id="0" w:name="_Hlk212033751"/>
      <w:r w:rsidR="004B48F5" w:rsidRPr="004B48F5">
        <w:t>CHEDP.XI.</w:t>
      </w:r>
      <w:r w:rsidR="004B48F5">
        <w:t>2025</w:t>
      </w:r>
      <w:r w:rsidR="004B48F5" w:rsidRPr="004B48F5">
        <w:t>.</w:t>
      </w:r>
      <w:r w:rsidR="004B48F5">
        <w:t>1234567</w:t>
      </w:r>
      <w:bookmarkEnd w:id="0"/>
      <w:r w:rsidR="004B48F5">
        <w:t xml:space="preserve">, where the licence was issued in 2025 for a Northern Ireland CHED with reference number 1234567. </w:t>
      </w:r>
      <w:r w:rsidR="004B48F5" w:rsidRPr="004B48F5">
        <w:t xml:space="preserve">The ‘.’ before XI, after XI and after the year, </w:t>
      </w:r>
      <w:r w:rsidR="004B48F5">
        <w:t>will be part of the format validation, so must be declared correctly.</w:t>
      </w:r>
    </w:p>
    <w:p w14:paraId="48017508" w14:textId="4A1BF52A" w:rsidR="004B48F5" w:rsidRDefault="004B48F5" w:rsidP="00223A65">
      <w:r>
        <w:t>Multiple CHED documents</w:t>
      </w:r>
    </w:p>
    <w:p w14:paraId="69B023B9" w14:textId="5A78B8EB" w:rsidR="004B48F5" w:rsidRDefault="004B48F5" w:rsidP="00223A65">
      <w:r>
        <w:t xml:space="preserve">CERTEX is unable to </w:t>
      </w:r>
      <w:r w:rsidR="00621117">
        <w:t xml:space="preserve">validate multiple CHEDs declared against a single item unless the individual write-off </w:t>
      </w:r>
      <w:r w:rsidR="2F4F281E">
        <w:t>quantities</w:t>
      </w:r>
      <w:r w:rsidR="00621117">
        <w:t xml:space="preserve"> are declared against each document code. For instance, if the mass of an item is declared as 1000kgs and is covered by two CHEDs, one for 750kgs and the other for 250kgs. If individual write-off </w:t>
      </w:r>
      <w:r w:rsidR="2274CE40">
        <w:t>quantities</w:t>
      </w:r>
      <w:r w:rsidR="00621117">
        <w:t xml:space="preserve"> are not declared, CERTEX will attempt to validate the CHED </w:t>
      </w:r>
      <w:r w:rsidR="280229BB">
        <w:t>quantities</w:t>
      </w:r>
      <w:r w:rsidR="00621117">
        <w:t xml:space="preserve"> 750 kgs and 250 kgs individually against the declared mass of 1000kgs and reject because each one o</w:t>
      </w:r>
      <w:r w:rsidR="00A77C5C">
        <w:t>n</w:t>
      </w:r>
      <w:r w:rsidR="00621117">
        <w:t xml:space="preserve"> </w:t>
      </w:r>
      <w:proofErr w:type="spellStart"/>
      <w:proofErr w:type="gramStart"/>
      <w:r w:rsidR="00621117">
        <w:t>it’s</w:t>
      </w:r>
      <w:proofErr w:type="spellEnd"/>
      <w:proofErr w:type="gramEnd"/>
      <w:r w:rsidR="00621117">
        <w:t xml:space="preserve"> own is insufficient to cover the total mass. </w:t>
      </w:r>
      <w:r w:rsidR="008271A2">
        <w:t>For this example</w:t>
      </w:r>
      <w:r w:rsidR="003910CF">
        <w:t>,</w:t>
      </w:r>
      <w:r w:rsidR="008271A2">
        <w:t xml:space="preserve"> if using document code </w:t>
      </w:r>
      <w:r w:rsidR="00503BB6">
        <w:t>N853, this would look like –</w:t>
      </w:r>
    </w:p>
    <w:tbl>
      <w:tblPr>
        <w:tblStyle w:val="TableGrid"/>
        <w:tblW w:w="0" w:type="auto"/>
        <w:tblLook w:val="04A0" w:firstRow="1" w:lastRow="0" w:firstColumn="1" w:lastColumn="0" w:noHBand="0" w:noVBand="1"/>
      </w:tblPr>
      <w:tblGrid>
        <w:gridCol w:w="1980"/>
        <w:gridCol w:w="3685"/>
        <w:gridCol w:w="2694"/>
      </w:tblGrid>
      <w:tr w:rsidR="00C82903" w14:paraId="02E31259" w14:textId="77777777" w:rsidTr="2BFF0688">
        <w:tc>
          <w:tcPr>
            <w:tcW w:w="1980" w:type="dxa"/>
          </w:tcPr>
          <w:p w14:paraId="4053716F" w14:textId="7F38D729" w:rsidR="00C82903" w:rsidRDefault="00C82903" w:rsidP="00223A65">
            <w:r>
              <w:t>Document Code</w:t>
            </w:r>
          </w:p>
        </w:tc>
        <w:tc>
          <w:tcPr>
            <w:tcW w:w="3685" w:type="dxa"/>
          </w:tcPr>
          <w:p w14:paraId="5C337D2C" w14:textId="1A80CE13" w:rsidR="00C82903" w:rsidRDefault="00C82903" w:rsidP="00223A65">
            <w:r>
              <w:t>Document ID</w:t>
            </w:r>
          </w:p>
        </w:tc>
        <w:tc>
          <w:tcPr>
            <w:tcW w:w="2694" w:type="dxa"/>
          </w:tcPr>
          <w:p w14:paraId="3E55F69F" w14:textId="158D3720" w:rsidR="00C82903" w:rsidRDefault="00C82903" w:rsidP="00223A65">
            <w:r>
              <w:t xml:space="preserve">Write Off </w:t>
            </w:r>
            <w:r w:rsidR="5C03F9C1">
              <w:t>Quantity</w:t>
            </w:r>
          </w:p>
        </w:tc>
      </w:tr>
      <w:tr w:rsidR="00C82903" w14:paraId="5D99ECEE" w14:textId="77777777" w:rsidTr="2BFF0688">
        <w:tc>
          <w:tcPr>
            <w:tcW w:w="1980" w:type="dxa"/>
          </w:tcPr>
          <w:p w14:paraId="5C4398FA" w14:textId="2C9984A2" w:rsidR="00C82903" w:rsidRDefault="00C82903" w:rsidP="00223A65">
            <w:r>
              <w:t>N853</w:t>
            </w:r>
          </w:p>
        </w:tc>
        <w:tc>
          <w:tcPr>
            <w:tcW w:w="3685" w:type="dxa"/>
          </w:tcPr>
          <w:p w14:paraId="285094F4" w14:textId="1803DE66" w:rsidR="00C82903" w:rsidRDefault="00C82903" w:rsidP="00223A65">
            <w:r w:rsidRPr="004B48F5">
              <w:t>CHEDP.XI.</w:t>
            </w:r>
            <w:r>
              <w:t>2025</w:t>
            </w:r>
            <w:r w:rsidRPr="004B48F5">
              <w:t>.</w:t>
            </w:r>
            <w:r w:rsidR="001156F6">
              <w:t>1</w:t>
            </w:r>
            <w:r>
              <w:t xml:space="preserve">234567  </w:t>
            </w:r>
          </w:p>
        </w:tc>
        <w:tc>
          <w:tcPr>
            <w:tcW w:w="2694" w:type="dxa"/>
          </w:tcPr>
          <w:p w14:paraId="366F0EDC" w14:textId="021E4599" w:rsidR="00C82903" w:rsidRDefault="00C82903" w:rsidP="00223A65">
            <w:r>
              <w:t>750 Kgs</w:t>
            </w:r>
          </w:p>
        </w:tc>
      </w:tr>
      <w:tr w:rsidR="00C82903" w14:paraId="11027D32" w14:textId="77777777" w:rsidTr="2BFF0688">
        <w:tc>
          <w:tcPr>
            <w:tcW w:w="1980" w:type="dxa"/>
          </w:tcPr>
          <w:p w14:paraId="01507B9E" w14:textId="5228FC08" w:rsidR="00C82903" w:rsidRDefault="00C82903" w:rsidP="00223A65">
            <w:r>
              <w:t>N853</w:t>
            </w:r>
          </w:p>
        </w:tc>
        <w:tc>
          <w:tcPr>
            <w:tcW w:w="3685" w:type="dxa"/>
          </w:tcPr>
          <w:p w14:paraId="07A316C5" w14:textId="16798356" w:rsidR="00C82903" w:rsidRDefault="00C82903" w:rsidP="00223A65">
            <w:r w:rsidRPr="004B48F5">
              <w:t>CHEDP.XI.</w:t>
            </w:r>
            <w:r>
              <w:t>2025</w:t>
            </w:r>
            <w:r w:rsidRPr="004B48F5">
              <w:t>.</w:t>
            </w:r>
            <w:r>
              <w:t>3456789</w:t>
            </w:r>
          </w:p>
        </w:tc>
        <w:tc>
          <w:tcPr>
            <w:tcW w:w="2694" w:type="dxa"/>
          </w:tcPr>
          <w:p w14:paraId="16AD4A27" w14:textId="6864E7D2" w:rsidR="00C82903" w:rsidRDefault="00C82903" w:rsidP="00223A65">
            <w:r>
              <w:t>250 Kgs</w:t>
            </w:r>
          </w:p>
        </w:tc>
      </w:tr>
    </w:tbl>
    <w:p w14:paraId="2E06FCE0" w14:textId="77777777" w:rsidR="00C3423C" w:rsidRDefault="00C3423C" w:rsidP="00223A65"/>
    <w:p w14:paraId="1EDF1AF4" w14:textId="2E1EC1A2" w:rsidR="00621117" w:rsidRDefault="00621117" w:rsidP="00223A65">
      <w:r>
        <w:t xml:space="preserve">Appendix 5A requirements for document codes C085, C640, C678, N853, N002 &amp; N851 are being updated to require declaration of a write-off </w:t>
      </w:r>
      <w:r w:rsidR="54EA8D4C">
        <w:t>quantity</w:t>
      </w:r>
      <w:r>
        <w:t xml:space="preserve"> on Northern Ireland declarations when multiple CHED</w:t>
      </w:r>
      <w:r w:rsidR="00911F55">
        <w:t xml:space="preserve"> ID</w:t>
      </w:r>
      <w:r>
        <w:t>s are being declared against a single item</w:t>
      </w:r>
      <w:r w:rsidR="00911F55">
        <w:t>. This does not apply in the case of a single CHED ID declared against both e.g. N851 and C085 as part of the current workaround.</w:t>
      </w:r>
    </w:p>
    <w:p w14:paraId="7739457A" w14:textId="77777777" w:rsidR="00911F55" w:rsidRDefault="00911F55" w:rsidP="00223A65"/>
    <w:p w14:paraId="78F0DD2E" w14:textId="7FCA7D35" w:rsidR="00911F55" w:rsidRPr="00F21299" w:rsidRDefault="00911F55" w:rsidP="00223A65">
      <w:pPr>
        <w:rPr>
          <w:b/>
          <w:bCs/>
        </w:rPr>
      </w:pPr>
      <w:r w:rsidRPr="00F21299">
        <w:rPr>
          <w:b/>
          <w:bCs/>
        </w:rPr>
        <w:t>Document Code C085</w:t>
      </w:r>
    </w:p>
    <w:p w14:paraId="23BC9827" w14:textId="24C7D89A" w:rsidR="00911F55" w:rsidRDefault="00911F55" w:rsidP="00223A65">
      <w:r>
        <w:t>The EU have now added document code C085 to the Northern Ireland Tariff with an entry into force date of 29</w:t>
      </w:r>
      <w:r w:rsidRPr="00911F55">
        <w:rPr>
          <w:vertAlign w:val="superscript"/>
        </w:rPr>
        <w:t>th</w:t>
      </w:r>
      <w:r>
        <w:t xml:space="preserve"> October 2025.</w:t>
      </w:r>
      <w:r w:rsidR="00F21299">
        <w:t xml:space="preserve"> In order to view this, it is necessary to amend the Date of Trade to 29/10/2025 or later. As an example, the conditions against commodity code 0603140000 appear as -</w:t>
      </w:r>
    </w:p>
    <w:p w14:paraId="26A9F4F1" w14:textId="77777777" w:rsidR="00911F55" w:rsidRDefault="00911F55" w:rsidP="00223A65"/>
    <w:p w14:paraId="54ED2EAC" w14:textId="77777777" w:rsidR="00911F55" w:rsidRPr="00911F55" w:rsidRDefault="00911F55" w:rsidP="00911F55">
      <w:pPr>
        <w:shd w:val="clear" w:color="auto" w:fill="FFFFFF"/>
        <w:spacing w:after="0" w:line="240" w:lineRule="auto"/>
        <w:outlineLvl w:val="2"/>
        <w:rPr>
          <w:rFonts w:eastAsia="Times New Roman" w:cs="Arial"/>
          <w:b/>
          <w:bCs/>
          <w:color w:val="0B0C0C"/>
          <w:kern w:val="0"/>
          <w:lang w:eastAsia="en-GB"/>
          <w14:ligatures w14:val="none"/>
        </w:rPr>
      </w:pPr>
      <w:r w:rsidRPr="00911F55">
        <w:rPr>
          <w:rFonts w:eastAsia="Times New Roman" w:cs="Arial"/>
          <w:b/>
          <w:bCs/>
          <w:color w:val="0B0C0C"/>
          <w:kern w:val="0"/>
          <w:lang w:eastAsia="en-GB"/>
          <w14:ligatures w14:val="none"/>
        </w:rPr>
        <w:t>Official control - plants for All countries</w:t>
      </w:r>
    </w:p>
    <w:p w14:paraId="2A246157" w14:textId="77777777" w:rsidR="00911F55" w:rsidRPr="00911F55" w:rsidRDefault="00911F55" w:rsidP="00911F55">
      <w:pPr>
        <w:shd w:val="clear" w:color="auto" w:fill="FFFFFF"/>
        <w:spacing w:after="300" w:line="375" w:lineRule="atLeast"/>
        <w:rPr>
          <w:rFonts w:eastAsia="Times New Roman" w:cs="Arial"/>
          <w:color w:val="0B0C0C"/>
          <w:kern w:val="0"/>
          <w:lang w:eastAsia="en-GB"/>
          <w14:ligatures w14:val="none"/>
        </w:rPr>
      </w:pPr>
      <w:r w:rsidRPr="00911F55">
        <w:rPr>
          <w:rFonts w:eastAsia="Times New Roman" w:cs="Arial"/>
          <w:noProof/>
          <w:color w:val="0B0C0C"/>
          <w:kern w:val="0"/>
          <w:lang w:eastAsia="en-GB"/>
          <w14:ligatures w14:val="none"/>
        </w:rPr>
        <w:drawing>
          <wp:inline distT="0" distB="0" distL="0" distR="0" wp14:anchorId="43D7BE95" wp14:editId="46B737A4">
            <wp:extent cx="152400" cy="15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11F55">
        <w:rPr>
          <w:rFonts w:eastAsia="Times New Roman" w:cs="Arial"/>
          <w:color w:val="0B0C0C"/>
          <w:kern w:val="0"/>
          <w:lang w:eastAsia="en-GB"/>
          <w14:ligatures w14:val="none"/>
        </w:rPr>
        <w:t> From 29 Oct 2025</w:t>
      </w:r>
    </w:p>
    <w:p w14:paraId="50B70CD0" w14:textId="77777777" w:rsidR="00911F55" w:rsidRPr="00911F55" w:rsidRDefault="00911F55" w:rsidP="00911F55">
      <w:pPr>
        <w:shd w:val="clear" w:color="auto" w:fill="FFFFFF"/>
        <w:spacing w:after="300" w:line="375" w:lineRule="atLeast"/>
        <w:rPr>
          <w:rFonts w:eastAsia="Times New Roman" w:cs="Arial"/>
          <w:color w:val="0B0C0C"/>
          <w:kern w:val="0"/>
          <w:lang w:eastAsia="en-GB"/>
          <w14:ligatures w14:val="none"/>
        </w:rPr>
      </w:pPr>
      <w:r w:rsidRPr="00911F55">
        <w:rPr>
          <w:rFonts w:eastAsia="Times New Roman" w:cs="Arial"/>
          <w:color w:val="0B0C0C"/>
          <w:kern w:val="0"/>
          <w:lang w:eastAsia="en-GB"/>
          <w14:ligatures w14:val="none"/>
        </w:rPr>
        <w:lastRenderedPageBreak/>
        <w:t>Meet one of the following conditions and supply the relevant document code(s) on your declaration.</w:t>
      </w:r>
    </w:p>
    <w:tbl>
      <w:tblPr>
        <w:tblW w:w="13854" w:type="dxa"/>
        <w:tblInd w:w="-284" w:type="dxa"/>
        <w:tblCellMar>
          <w:top w:w="15" w:type="dxa"/>
          <w:left w:w="15" w:type="dxa"/>
          <w:bottom w:w="15" w:type="dxa"/>
          <w:right w:w="15" w:type="dxa"/>
        </w:tblCellMar>
        <w:tblLook w:val="04A0" w:firstRow="1" w:lastRow="0" w:firstColumn="1" w:lastColumn="0" w:noHBand="0" w:noVBand="1"/>
      </w:tblPr>
      <w:tblGrid>
        <w:gridCol w:w="1454"/>
        <w:gridCol w:w="10225"/>
        <w:gridCol w:w="2175"/>
      </w:tblGrid>
      <w:tr w:rsidR="00911F55" w:rsidRPr="00911F55" w14:paraId="62873F3D" w14:textId="77777777" w:rsidTr="00173141">
        <w:trPr>
          <w:tblHeader/>
        </w:trPr>
        <w:tc>
          <w:tcPr>
            <w:tcW w:w="1454" w:type="dxa"/>
            <w:tcBorders>
              <w:bottom w:val="single" w:sz="6" w:space="0" w:color="B1B4B6"/>
            </w:tcBorders>
            <w:tcMar>
              <w:top w:w="150" w:type="dxa"/>
              <w:left w:w="0" w:type="dxa"/>
              <w:bottom w:w="150" w:type="dxa"/>
              <w:right w:w="300" w:type="dxa"/>
            </w:tcMar>
            <w:hideMark/>
          </w:tcPr>
          <w:p w14:paraId="197368F9" w14:textId="77777777" w:rsidR="00911F55" w:rsidRPr="00911F55" w:rsidRDefault="00911F55" w:rsidP="00911F55">
            <w:pPr>
              <w:spacing w:after="0" w:line="240" w:lineRule="auto"/>
              <w:rPr>
                <w:rFonts w:eastAsia="Times New Roman" w:cs="Arial"/>
                <w:b/>
                <w:bCs/>
                <w:color w:val="0B0C0C"/>
                <w:kern w:val="0"/>
                <w:lang w:eastAsia="en-GB"/>
                <w14:ligatures w14:val="none"/>
              </w:rPr>
            </w:pPr>
            <w:r w:rsidRPr="00911F55">
              <w:rPr>
                <w:rFonts w:eastAsia="Times New Roman" w:cs="Arial"/>
                <w:b/>
                <w:bCs/>
                <w:color w:val="0B0C0C"/>
                <w:kern w:val="0"/>
                <w:lang w:eastAsia="en-GB"/>
                <w14:ligatures w14:val="none"/>
              </w:rPr>
              <w:t>Document code</w:t>
            </w:r>
          </w:p>
        </w:tc>
        <w:tc>
          <w:tcPr>
            <w:tcW w:w="10225" w:type="dxa"/>
            <w:tcBorders>
              <w:bottom w:val="single" w:sz="6" w:space="0" w:color="B1B4B6"/>
            </w:tcBorders>
            <w:tcMar>
              <w:top w:w="150" w:type="dxa"/>
              <w:left w:w="0" w:type="dxa"/>
              <w:bottom w:w="150" w:type="dxa"/>
              <w:right w:w="300" w:type="dxa"/>
            </w:tcMar>
            <w:hideMark/>
          </w:tcPr>
          <w:p w14:paraId="7B8ED106" w14:textId="77777777" w:rsidR="00911F55" w:rsidRPr="00911F55" w:rsidRDefault="00911F55" w:rsidP="00911F55">
            <w:pPr>
              <w:spacing w:after="0" w:line="240" w:lineRule="auto"/>
              <w:rPr>
                <w:rFonts w:eastAsia="Times New Roman" w:cs="Arial"/>
                <w:b/>
                <w:bCs/>
                <w:color w:val="0B0C0C"/>
                <w:kern w:val="0"/>
                <w:lang w:eastAsia="en-GB"/>
                <w14:ligatures w14:val="none"/>
              </w:rPr>
            </w:pPr>
            <w:r w:rsidRPr="00911F55">
              <w:rPr>
                <w:rFonts w:eastAsia="Times New Roman" w:cs="Arial"/>
                <w:b/>
                <w:bCs/>
                <w:color w:val="0B0C0C"/>
                <w:kern w:val="0"/>
                <w:lang w:eastAsia="en-GB"/>
                <w14:ligatures w14:val="none"/>
              </w:rPr>
              <w:t>Requirement</w:t>
            </w:r>
          </w:p>
        </w:tc>
        <w:tc>
          <w:tcPr>
            <w:tcW w:w="0" w:type="auto"/>
            <w:tcBorders>
              <w:bottom w:val="single" w:sz="6" w:space="0" w:color="B1B4B6"/>
            </w:tcBorders>
            <w:tcMar>
              <w:top w:w="150" w:type="dxa"/>
              <w:left w:w="0" w:type="dxa"/>
              <w:bottom w:w="150" w:type="dxa"/>
              <w:right w:w="0" w:type="dxa"/>
            </w:tcMar>
            <w:hideMark/>
          </w:tcPr>
          <w:p w14:paraId="30F5D8B4" w14:textId="77777777" w:rsidR="00911F55" w:rsidRPr="00911F55" w:rsidRDefault="00911F55" w:rsidP="00911F55">
            <w:pPr>
              <w:spacing w:after="0" w:line="240" w:lineRule="auto"/>
              <w:rPr>
                <w:rFonts w:eastAsia="Times New Roman" w:cs="Arial"/>
                <w:b/>
                <w:bCs/>
                <w:color w:val="0B0C0C"/>
                <w:kern w:val="0"/>
                <w:lang w:eastAsia="en-GB"/>
                <w14:ligatures w14:val="none"/>
              </w:rPr>
            </w:pPr>
            <w:r w:rsidRPr="00911F55">
              <w:rPr>
                <w:rFonts w:eastAsia="Times New Roman" w:cs="Arial"/>
                <w:b/>
                <w:bCs/>
                <w:color w:val="0B0C0C"/>
                <w:kern w:val="0"/>
                <w:lang w:eastAsia="en-GB"/>
                <w14:ligatures w14:val="none"/>
              </w:rPr>
              <w:t>Action</w:t>
            </w:r>
          </w:p>
        </w:tc>
      </w:tr>
      <w:tr w:rsidR="00911F55" w:rsidRPr="00911F55" w14:paraId="6869BBC5" w14:textId="77777777" w:rsidTr="00173141">
        <w:tc>
          <w:tcPr>
            <w:tcW w:w="1454" w:type="dxa"/>
            <w:tcBorders>
              <w:bottom w:val="single" w:sz="6" w:space="0" w:color="B1B4B6"/>
            </w:tcBorders>
            <w:tcMar>
              <w:top w:w="150" w:type="dxa"/>
              <w:left w:w="0" w:type="dxa"/>
              <w:bottom w:w="150" w:type="dxa"/>
              <w:right w:w="126" w:type="dxa"/>
            </w:tcMar>
            <w:hideMark/>
          </w:tcPr>
          <w:p w14:paraId="7991FCCB" w14:textId="77777777" w:rsidR="00911F55" w:rsidRPr="00911F55" w:rsidRDefault="00911F55" w:rsidP="00911F55">
            <w:pPr>
              <w:spacing w:after="0" w:line="240" w:lineRule="auto"/>
              <w:rPr>
                <w:rFonts w:eastAsia="Times New Roman" w:cs="Arial"/>
                <w:color w:val="0B0C0C"/>
                <w:kern w:val="0"/>
                <w:lang w:eastAsia="en-GB"/>
                <w14:ligatures w14:val="none"/>
              </w:rPr>
            </w:pPr>
            <w:r w:rsidRPr="00911F55">
              <w:rPr>
                <w:rFonts w:eastAsia="Times New Roman" w:cs="Arial"/>
                <w:color w:val="0B0C0C"/>
                <w:kern w:val="0"/>
                <w:lang w:eastAsia="en-GB"/>
                <w14:ligatures w14:val="none"/>
              </w:rPr>
              <w:t>C085</w:t>
            </w:r>
          </w:p>
        </w:tc>
        <w:tc>
          <w:tcPr>
            <w:tcW w:w="10225" w:type="dxa"/>
            <w:tcBorders>
              <w:bottom w:val="single" w:sz="6" w:space="0" w:color="B1B4B6"/>
            </w:tcBorders>
            <w:tcMar>
              <w:top w:w="150" w:type="dxa"/>
              <w:left w:w="0" w:type="dxa"/>
              <w:bottom w:w="150" w:type="dxa"/>
              <w:right w:w="126" w:type="dxa"/>
            </w:tcMar>
            <w:hideMark/>
          </w:tcPr>
          <w:p w14:paraId="709BFEB0" w14:textId="77777777" w:rsidR="00911F55" w:rsidRPr="00911F55" w:rsidRDefault="00911F55" w:rsidP="00911F55">
            <w:pPr>
              <w:spacing w:after="300" w:line="375" w:lineRule="atLeast"/>
              <w:rPr>
                <w:rFonts w:eastAsia="Times New Roman" w:cs="Arial"/>
                <w:color w:val="0B0C0C"/>
                <w:kern w:val="0"/>
                <w:lang w:eastAsia="en-GB"/>
                <w14:ligatures w14:val="none"/>
              </w:rPr>
            </w:pPr>
            <w:r w:rsidRPr="00911F55">
              <w:rPr>
                <w:rFonts w:eastAsia="Times New Roman" w:cs="Arial"/>
                <w:color w:val="0B0C0C"/>
                <w:kern w:val="0"/>
                <w:lang w:eastAsia="en-GB"/>
                <w14:ligatures w14:val="none"/>
              </w:rPr>
              <w:t>Common Health Entry Document for Plants and Plant Products (CHED-PP) (as set out in Part 2, Section C of Annex II to Commission Implementing Regulation (EU) 2019/1715 (OJ L 261))</w:t>
            </w:r>
          </w:p>
        </w:tc>
        <w:tc>
          <w:tcPr>
            <w:tcW w:w="0" w:type="auto"/>
            <w:tcBorders>
              <w:bottom w:val="single" w:sz="6" w:space="0" w:color="B1B4B6"/>
            </w:tcBorders>
            <w:tcMar>
              <w:top w:w="150" w:type="dxa"/>
              <w:left w:w="0" w:type="dxa"/>
              <w:bottom w:w="150" w:type="dxa"/>
              <w:right w:w="0" w:type="dxa"/>
            </w:tcMar>
            <w:hideMark/>
          </w:tcPr>
          <w:p w14:paraId="2B86AB63" w14:textId="77777777" w:rsidR="00911F55" w:rsidRPr="00911F55" w:rsidRDefault="00911F55" w:rsidP="00911F55">
            <w:pPr>
              <w:spacing w:after="0" w:line="240" w:lineRule="auto"/>
              <w:rPr>
                <w:rFonts w:eastAsia="Times New Roman" w:cs="Arial"/>
                <w:color w:val="0B0C0C"/>
                <w:kern w:val="0"/>
                <w:lang w:eastAsia="en-GB"/>
                <w14:ligatures w14:val="none"/>
              </w:rPr>
            </w:pPr>
            <w:r w:rsidRPr="00911F55">
              <w:rPr>
                <w:rFonts w:eastAsia="Times New Roman" w:cs="Arial"/>
                <w:color w:val="0B0C0C"/>
                <w:kern w:val="0"/>
                <w:lang w:eastAsia="en-GB"/>
                <w14:ligatures w14:val="none"/>
              </w:rPr>
              <w:t>Import/export allowed after control</w:t>
            </w:r>
          </w:p>
        </w:tc>
      </w:tr>
      <w:tr w:rsidR="00911F55" w:rsidRPr="00911F55" w14:paraId="6E155726" w14:textId="77777777" w:rsidTr="00173141">
        <w:tc>
          <w:tcPr>
            <w:tcW w:w="1454" w:type="dxa"/>
            <w:tcBorders>
              <w:bottom w:val="single" w:sz="6" w:space="0" w:color="B1B4B6"/>
            </w:tcBorders>
            <w:tcMar>
              <w:top w:w="150" w:type="dxa"/>
              <w:left w:w="0" w:type="dxa"/>
              <w:bottom w:w="150" w:type="dxa"/>
              <w:right w:w="126" w:type="dxa"/>
            </w:tcMar>
            <w:hideMark/>
          </w:tcPr>
          <w:p w14:paraId="3B55675B" w14:textId="77777777" w:rsidR="00911F55" w:rsidRPr="00911F55" w:rsidRDefault="00911F55" w:rsidP="00911F55">
            <w:pPr>
              <w:spacing w:after="0" w:line="240" w:lineRule="auto"/>
              <w:rPr>
                <w:rFonts w:eastAsia="Times New Roman" w:cs="Arial"/>
                <w:color w:val="0B0C0C"/>
                <w:kern w:val="0"/>
                <w:lang w:eastAsia="en-GB"/>
                <w14:ligatures w14:val="none"/>
              </w:rPr>
            </w:pPr>
            <w:r w:rsidRPr="00911F55">
              <w:rPr>
                <w:rFonts w:eastAsia="Times New Roman" w:cs="Arial"/>
                <w:color w:val="0B0C0C"/>
                <w:kern w:val="0"/>
                <w:lang w:eastAsia="en-GB"/>
                <w14:ligatures w14:val="none"/>
              </w:rPr>
              <w:t>Y146</w:t>
            </w:r>
          </w:p>
        </w:tc>
        <w:tc>
          <w:tcPr>
            <w:tcW w:w="10225" w:type="dxa"/>
            <w:tcBorders>
              <w:bottom w:val="single" w:sz="6" w:space="0" w:color="B1B4B6"/>
            </w:tcBorders>
            <w:tcMar>
              <w:top w:w="150" w:type="dxa"/>
              <w:left w:w="0" w:type="dxa"/>
              <w:bottom w:w="150" w:type="dxa"/>
              <w:right w:w="126" w:type="dxa"/>
            </w:tcMar>
            <w:hideMark/>
          </w:tcPr>
          <w:p w14:paraId="566AF263" w14:textId="77777777" w:rsidR="00911F55" w:rsidRPr="00911F55" w:rsidRDefault="00911F55" w:rsidP="00911F55">
            <w:pPr>
              <w:spacing w:after="300" w:line="375" w:lineRule="atLeast"/>
              <w:rPr>
                <w:rFonts w:eastAsia="Times New Roman" w:cs="Arial"/>
                <w:color w:val="0B0C0C"/>
                <w:kern w:val="0"/>
                <w:lang w:eastAsia="en-GB"/>
                <w14:ligatures w14:val="none"/>
              </w:rPr>
            </w:pPr>
            <w:r w:rsidRPr="00911F55">
              <w:rPr>
                <w:rFonts w:eastAsia="Times New Roman" w:cs="Arial"/>
                <w:color w:val="0B0C0C"/>
                <w:kern w:val="0"/>
                <w:lang w:eastAsia="en-GB"/>
                <w14:ligatures w14:val="none"/>
              </w:rPr>
              <w:t>Exemption for products intended for scientific purposes in accordance with Article 48(1) of Regulation (EU) 2016/2031</w:t>
            </w:r>
          </w:p>
        </w:tc>
        <w:tc>
          <w:tcPr>
            <w:tcW w:w="0" w:type="auto"/>
            <w:tcBorders>
              <w:bottom w:val="single" w:sz="6" w:space="0" w:color="B1B4B6"/>
            </w:tcBorders>
            <w:tcMar>
              <w:top w:w="150" w:type="dxa"/>
              <w:left w:w="0" w:type="dxa"/>
              <w:bottom w:w="150" w:type="dxa"/>
              <w:right w:w="0" w:type="dxa"/>
            </w:tcMar>
            <w:hideMark/>
          </w:tcPr>
          <w:p w14:paraId="5FE1A21F" w14:textId="77777777" w:rsidR="00911F55" w:rsidRPr="00911F55" w:rsidRDefault="00911F55" w:rsidP="00911F55">
            <w:pPr>
              <w:spacing w:after="0" w:line="240" w:lineRule="auto"/>
              <w:rPr>
                <w:rFonts w:eastAsia="Times New Roman" w:cs="Arial"/>
                <w:color w:val="0B0C0C"/>
                <w:kern w:val="0"/>
                <w:lang w:eastAsia="en-GB"/>
                <w14:ligatures w14:val="none"/>
              </w:rPr>
            </w:pPr>
            <w:r w:rsidRPr="00911F55">
              <w:rPr>
                <w:rFonts w:eastAsia="Times New Roman" w:cs="Arial"/>
                <w:color w:val="0B0C0C"/>
                <w:kern w:val="0"/>
                <w:lang w:eastAsia="en-GB"/>
                <w14:ligatures w14:val="none"/>
              </w:rPr>
              <w:t>Import/export allowed after control</w:t>
            </w:r>
          </w:p>
        </w:tc>
      </w:tr>
      <w:tr w:rsidR="00911F55" w:rsidRPr="00911F55" w14:paraId="0A85A356" w14:textId="77777777" w:rsidTr="00173141">
        <w:tc>
          <w:tcPr>
            <w:tcW w:w="1454" w:type="dxa"/>
            <w:tcBorders>
              <w:bottom w:val="single" w:sz="6" w:space="0" w:color="B1B4B6"/>
            </w:tcBorders>
            <w:tcMar>
              <w:top w:w="150" w:type="dxa"/>
              <w:left w:w="0" w:type="dxa"/>
              <w:bottom w:w="150" w:type="dxa"/>
              <w:right w:w="126" w:type="dxa"/>
            </w:tcMar>
            <w:hideMark/>
          </w:tcPr>
          <w:p w14:paraId="43BD4F7B" w14:textId="77777777" w:rsidR="00911F55" w:rsidRPr="00911F55" w:rsidRDefault="00911F55" w:rsidP="00911F55">
            <w:pPr>
              <w:spacing w:after="0" w:line="240" w:lineRule="auto"/>
              <w:rPr>
                <w:rFonts w:eastAsia="Times New Roman" w:cs="Arial"/>
                <w:color w:val="0B0C0C"/>
                <w:kern w:val="0"/>
                <w:lang w:eastAsia="en-GB"/>
                <w14:ligatures w14:val="none"/>
              </w:rPr>
            </w:pPr>
            <w:r w:rsidRPr="00911F55">
              <w:rPr>
                <w:rFonts w:eastAsia="Times New Roman" w:cs="Arial"/>
                <w:color w:val="0B0C0C"/>
                <w:kern w:val="0"/>
                <w:lang w:eastAsia="en-GB"/>
                <w14:ligatures w14:val="none"/>
              </w:rPr>
              <w:t>Y979</w:t>
            </w:r>
          </w:p>
        </w:tc>
        <w:tc>
          <w:tcPr>
            <w:tcW w:w="10225" w:type="dxa"/>
            <w:tcBorders>
              <w:bottom w:val="single" w:sz="6" w:space="0" w:color="B1B4B6"/>
            </w:tcBorders>
            <w:tcMar>
              <w:top w:w="150" w:type="dxa"/>
              <w:left w:w="0" w:type="dxa"/>
              <w:bottom w:w="150" w:type="dxa"/>
              <w:right w:w="126" w:type="dxa"/>
            </w:tcMar>
            <w:hideMark/>
          </w:tcPr>
          <w:p w14:paraId="509EF321" w14:textId="77777777" w:rsidR="00911F55" w:rsidRPr="00911F55" w:rsidRDefault="00911F55" w:rsidP="00911F55">
            <w:pPr>
              <w:spacing w:after="300" w:line="375" w:lineRule="atLeast"/>
              <w:rPr>
                <w:rFonts w:eastAsia="Times New Roman" w:cs="Arial"/>
                <w:color w:val="0B0C0C"/>
                <w:kern w:val="0"/>
                <w:lang w:eastAsia="en-GB"/>
                <w14:ligatures w14:val="none"/>
              </w:rPr>
            </w:pPr>
            <w:r w:rsidRPr="00911F55">
              <w:rPr>
                <w:rFonts w:eastAsia="Times New Roman" w:cs="Arial"/>
                <w:color w:val="0B0C0C"/>
                <w:kern w:val="0"/>
                <w:lang w:eastAsia="en-GB"/>
                <w14:ligatures w14:val="none"/>
              </w:rPr>
              <w:t>Exemption from official controls for plants, other than plants for planting, plant products and other objects, which form part of passengers’ personal luggage and are intended for personal consumption or use (Regulation (EU) 2019/2122 Article 7d)</w:t>
            </w:r>
          </w:p>
        </w:tc>
        <w:tc>
          <w:tcPr>
            <w:tcW w:w="0" w:type="auto"/>
            <w:tcBorders>
              <w:bottom w:val="single" w:sz="6" w:space="0" w:color="B1B4B6"/>
            </w:tcBorders>
            <w:tcMar>
              <w:top w:w="150" w:type="dxa"/>
              <w:left w:w="0" w:type="dxa"/>
              <w:bottom w:w="150" w:type="dxa"/>
              <w:right w:w="0" w:type="dxa"/>
            </w:tcMar>
            <w:hideMark/>
          </w:tcPr>
          <w:p w14:paraId="7CE223D5" w14:textId="77777777" w:rsidR="00911F55" w:rsidRPr="00911F55" w:rsidRDefault="00911F55" w:rsidP="00911F55">
            <w:pPr>
              <w:spacing w:after="0" w:line="240" w:lineRule="auto"/>
              <w:rPr>
                <w:rFonts w:eastAsia="Times New Roman" w:cs="Arial"/>
                <w:color w:val="0B0C0C"/>
                <w:kern w:val="0"/>
                <w:lang w:eastAsia="en-GB"/>
                <w14:ligatures w14:val="none"/>
              </w:rPr>
            </w:pPr>
            <w:r w:rsidRPr="00911F55">
              <w:rPr>
                <w:rFonts w:eastAsia="Times New Roman" w:cs="Arial"/>
                <w:color w:val="0B0C0C"/>
                <w:kern w:val="0"/>
                <w:lang w:eastAsia="en-GB"/>
                <w14:ligatures w14:val="none"/>
              </w:rPr>
              <w:t>Import/export allowed after control</w:t>
            </w:r>
          </w:p>
        </w:tc>
      </w:tr>
    </w:tbl>
    <w:p w14:paraId="1E249F88" w14:textId="77777777" w:rsidR="00911F55" w:rsidRPr="00911F55" w:rsidRDefault="00911F55" w:rsidP="00223A65"/>
    <w:p w14:paraId="7D87850A" w14:textId="77777777" w:rsidR="004B48F5" w:rsidRPr="00911F55" w:rsidRDefault="004B48F5" w:rsidP="00223A65"/>
    <w:p w14:paraId="6BDB2AF8" w14:textId="610B8909" w:rsidR="004B48F5" w:rsidRDefault="00F21299" w:rsidP="00223A65">
      <w:pPr>
        <w:rPr>
          <w:b/>
          <w:bCs/>
        </w:rPr>
      </w:pPr>
      <w:r w:rsidRPr="00F21299">
        <w:rPr>
          <w:b/>
          <w:bCs/>
        </w:rPr>
        <w:t>Firearms Import Licences</w:t>
      </w:r>
    </w:p>
    <w:p w14:paraId="77CB5E2B" w14:textId="22AEA02B" w:rsidR="00F21299" w:rsidRDefault="00F21299" w:rsidP="00223A65">
      <w:r>
        <w:t>Document code 9100 is currently used as the document code for both Firearms Import Licences and Nuclear Materials Import Licences. In order to separate these measures, document code 9023 is being introduced as the replacement document code for Firearms Import licences, leaving document code 9100 to cover just the Nuclear Materials Import Licences.</w:t>
      </w:r>
    </w:p>
    <w:p w14:paraId="51738E18" w14:textId="4E21C68E" w:rsidR="00F21299" w:rsidRDefault="00F21299" w:rsidP="00223A65">
      <w:r>
        <w:t>In order to minimise disruption, we have agreed a period of dual running from 28</w:t>
      </w:r>
      <w:r w:rsidRPr="00F21299">
        <w:rPr>
          <w:vertAlign w:val="superscript"/>
        </w:rPr>
        <w:t>th</w:t>
      </w:r>
      <w:r>
        <w:t xml:space="preserve"> October 2025 until 31</w:t>
      </w:r>
      <w:r w:rsidRPr="00F21299">
        <w:rPr>
          <w:vertAlign w:val="superscript"/>
        </w:rPr>
        <w:t>st</w:t>
      </w:r>
      <w:r>
        <w:t xml:space="preserve"> January 2026. During this dual running period, Firearms Import Licences can be declared against either 9100 or 9023</w:t>
      </w:r>
      <w:r w:rsidR="00C50095">
        <w:t>. The licence must not be declared against both at the same time otherwise CDS will attempt to decrement the licence twice.</w:t>
      </w:r>
    </w:p>
    <w:p w14:paraId="0707D233" w14:textId="5A359381" w:rsidR="00C50095" w:rsidRDefault="00C50095" w:rsidP="00223A65">
      <w:r>
        <w:t>From 31</w:t>
      </w:r>
      <w:r w:rsidRPr="00C50095">
        <w:rPr>
          <w:vertAlign w:val="superscript"/>
        </w:rPr>
        <w:t>st</w:t>
      </w:r>
      <w:r>
        <w:t xml:space="preserve"> January 2026, document code 9100 will no longer be recognised as a Firearms Import Licence, other than in the case of Supplementary Declarations with an arrive date prior to 31</w:t>
      </w:r>
      <w:r w:rsidRPr="00C50095">
        <w:rPr>
          <w:vertAlign w:val="superscript"/>
        </w:rPr>
        <w:t>st</w:t>
      </w:r>
      <w:r>
        <w:t xml:space="preserve"> January 2026.</w:t>
      </w:r>
    </w:p>
    <w:p w14:paraId="4A4CB72F" w14:textId="2B9B9114" w:rsidR="00C50095" w:rsidRDefault="00C50095" w:rsidP="00223A65">
      <w:r>
        <w:t>Declarations which have been pre-lodged before 28</w:t>
      </w:r>
      <w:r w:rsidRPr="00C50095">
        <w:rPr>
          <w:vertAlign w:val="superscript"/>
        </w:rPr>
        <w:t>th</w:t>
      </w:r>
      <w:r>
        <w:t xml:space="preserve"> October with document code 9100 declared for a Firearms Import Licence, will not need to make any amendment to accommodate the tariff measure change.</w:t>
      </w:r>
    </w:p>
    <w:p w14:paraId="17C1FAC5" w14:textId="480EBF08" w:rsidR="00F21299" w:rsidRPr="00F21299" w:rsidRDefault="00C50095" w:rsidP="00223A65">
      <w:r>
        <w:t>Declarations which are pre-lodged before 31</w:t>
      </w:r>
      <w:r w:rsidRPr="00C50095">
        <w:rPr>
          <w:vertAlign w:val="superscript"/>
        </w:rPr>
        <w:t>st</w:t>
      </w:r>
      <w:r>
        <w:t xml:space="preserve"> January 2026 but with an arrival date of 31</w:t>
      </w:r>
      <w:r w:rsidRPr="00C50095">
        <w:rPr>
          <w:vertAlign w:val="superscript"/>
        </w:rPr>
        <w:t>st</w:t>
      </w:r>
      <w:r>
        <w:t xml:space="preserve"> January 2026 or later, and which include document code 9100 for a Firearms Import Licence, will need to </w:t>
      </w:r>
      <w:r w:rsidR="000A0E75">
        <w:t>have</w:t>
      </w:r>
      <w:r>
        <w:t xml:space="preserve"> the document code</w:t>
      </w:r>
      <w:r w:rsidR="006D7549">
        <w:t xml:space="preserve"> amended</w:t>
      </w:r>
      <w:r>
        <w:t xml:space="preserve"> to 9023 before the declaration </w:t>
      </w:r>
      <w:proofErr w:type="gramStart"/>
      <w:r>
        <w:t>is arrived</w:t>
      </w:r>
      <w:proofErr w:type="gramEnd"/>
      <w:r>
        <w:t xml:space="preserve">. It is strongly advised that declarants take advantage of the dual running period to switch to using document code 9023 </w:t>
      </w:r>
      <w:r w:rsidR="00510617">
        <w:t>before the start of 2026</w:t>
      </w:r>
      <w:r w:rsidR="00A77C5C">
        <w:t xml:space="preserve"> in order to avoid any issues when 9100 stops being used in the firearms import tariff measure.</w:t>
      </w:r>
    </w:p>
    <w:sectPr w:rsidR="00F21299" w:rsidRPr="00F21299" w:rsidSect="00F21299">
      <w:footerReference w:type="even" r:id="rId10"/>
      <w:footerReference w:type="defaul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051D5" w14:textId="77777777" w:rsidR="00E3078B" w:rsidRDefault="00E3078B" w:rsidP="00447075">
      <w:pPr>
        <w:spacing w:after="0" w:line="240" w:lineRule="auto"/>
      </w:pPr>
      <w:r>
        <w:separator/>
      </w:r>
    </w:p>
  </w:endnote>
  <w:endnote w:type="continuationSeparator" w:id="0">
    <w:p w14:paraId="518696E8" w14:textId="77777777" w:rsidR="00E3078B" w:rsidRDefault="00E3078B" w:rsidP="00447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DCE65" w14:textId="6E3B65AE" w:rsidR="00447075" w:rsidRDefault="00447075">
    <w:pPr>
      <w:pStyle w:val="Footer"/>
    </w:pPr>
    <w:r>
      <w:rPr>
        <w:noProof/>
      </w:rPr>
      <mc:AlternateContent>
        <mc:Choice Requires="wps">
          <w:drawing>
            <wp:anchor distT="0" distB="0" distL="0" distR="0" simplePos="0" relativeHeight="251658241" behindDoc="0" locked="0" layoutInCell="1" allowOverlap="1" wp14:anchorId="77B8B5F3" wp14:editId="49293123">
              <wp:simplePos x="635" y="635"/>
              <wp:positionH relativeFrom="page">
                <wp:align>center</wp:align>
              </wp:positionH>
              <wp:positionV relativeFrom="page">
                <wp:align>bottom</wp:align>
              </wp:positionV>
              <wp:extent cx="504825" cy="371475"/>
              <wp:effectExtent l="0" t="0" r="9525" b="0"/>
              <wp:wrapNone/>
              <wp:docPr id="621709194"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04825" cy="371475"/>
                      </a:xfrm>
                      <a:prstGeom prst="rect">
                        <a:avLst/>
                      </a:prstGeom>
                      <a:noFill/>
                      <a:ln>
                        <a:noFill/>
                      </a:ln>
                    </wps:spPr>
                    <wps:txbx>
                      <w:txbxContent>
                        <w:p w14:paraId="41A11E30" w14:textId="5D0FFB51" w:rsidR="00447075" w:rsidRPr="00447075" w:rsidRDefault="00447075" w:rsidP="00447075">
                          <w:pPr>
                            <w:spacing w:after="0"/>
                            <w:rPr>
                              <w:rFonts w:ascii="Aptos" w:eastAsia="Aptos" w:hAnsi="Aptos" w:cs="Aptos"/>
                              <w:noProof/>
                              <w:color w:val="000000"/>
                              <w:sz w:val="20"/>
                              <w:szCs w:val="20"/>
                            </w:rPr>
                          </w:pPr>
                          <w:r w:rsidRPr="00447075">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B8B5F3" id="_x0000_t202" coordsize="21600,21600" o:spt="202" path="m,l,21600r21600,l21600,xe">
              <v:stroke joinstyle="miter"/>
              <v:path gradientshapeok="t" o:connecttype="rect"/>
            </v:shapetype>
            <v:shape id="Text Box 2" o:spid="_x0000_s1026" type="#_x0000_t202" alt="OFFICIAL" style="position:absolute;margin-left:0;margin-top:0;width:39.75pt;height:29.2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" filled="f" stroked="f">
              <v:textbox style="mso-fit-shape-to-text:t" inset="0,0,0,15pt">
                <w:txbxContent>
                  <w:p w14:paraId="41A11E30" w14:textId="5D0FFB51" w:rsidR="00447075" w:rsidRPr="00447075" w:rsidRDefault="00447075" w:rsidP="00447075">
                    <w:pPr>
                      <w:spacing w:after="0"/>
                      <w:rPr>
                        <w:rFonts w:ascii="Aptos" w:eastAsia="Aptos" w:hAnsi="Aptos" w:cs="Aptos"/>
                        <w:noProof/>
                        <w:color w:val="000000"/>
                        <w:sz w:val="20"/>
                        <w:szCs w:val="20"/>
                      </w:rPr>
                    </w:pPr>
                    <w:r w:rsidRPr="00447075">
                      <w:rPr>
                        <w:rFonts w:ascii="Aptos" w:eastAsia="Aptos" w:hAnsi="Aptos" w:cs="Aptos"/>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E59E7" w14:textId="07736529" w:rsidR="00447075" w:rsidRDefault="00447075">
    <w:pPr>
      <w:pStyle w:val="Footer"/>
    </w:pPr>
    <w:r>
      <w:rPr>
        <w:noProof/>
      </w:rPr>
      <mc:AlternateContent>
        <mc:Choice Requires="wps">
          <w:drawing>
            <wp:anchor distT="0" distB="0" distL="0" distR="0" simplePos="0" relativeHeight="251658242" behindDoc="0" locked="0" layoutInCell="1" allowOverlap="1" wp14:anchorId="70FC961B" wp14:editId="7D83540C">
              <wp:simplePos x="635" y="635"/>
              <wp:positionH relativeFrom="page">
                <wp:align>center</wp:align>
              </wp:positionH>
              <wp:positionV relativeFrom="page">
                <wp:align>bottom</wp:align>
              </wp:positionV>
              <wp:extent cx="504825" cy="371475"/>
              <wp:effectExtent l="0" t="0" r="9525" b="0"/>
              <wp:wrapNone/>
              <wp:docPr id="1060863490"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04825" cy="371475"/>
                      </a:xfrm>
                      <a:prstGeom prst="rect">
                        <a:avLst/>
                      </a:prstGeom>
                      <a:noFill/>
                      <a:ln>
                        <a:noFill/>
                      </a:ln>
                    </wps:spPr>
                    <wps:txbx>
                      <w:txbxContent>
                        <w:p w14:paraId="346864ED" w14:textId="23F4B2FD" w:rsidR="00447075" w:rsidRPr="00447075" w:rsidRDefault="00447075" w:rsidP="00447075">
                          <w:pPr>
                            <w:spacing w:after="0"/>
                            <w:rPr>
                              <w:rFonts w:ascii="Aptos" w:eastAsia="Aptos" w:hAnsi="Aptos" w:cs="Aptos"/>
                              <w:noProof/>
                              <w:color w:val="000000"/>
                              <w:sz w:val="20"/>
                              <w:szCs w:val="20"/>
                            </w:rPr>
                          </w:pPr>
                          <w:r w:rsidRPr="00447075">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FC961B" id="_x0000_t202" coordsize="21600,21600" o:spt="202" path="m,l,21600r21600,l21600,xe">
              <v:stroke joinstyle="miter"/>
              <v:path gradientshapeok="t" o:connecttype="rect"/>
            </v:shapetype>
            <v:shape id="Text Box 3" o:spid="_x0000_s1027" type="#_x0000_t202" alt="OFFICIAL" style="position:absolute;margin-left:0;margin-top:0;width:39.75pt;height:29.2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" filled="f" stroked="f">
              <v:textbox style="mso-fit-shape-to-text:t" inset="0,0,0,15pt">
                <w:txbxContent>
                  <w:p w14:paraId="346864ED" w14:textId="23F4B2FD" w:rsidR="00447075" w:rsidRPr="00447075" w:rsidRDefault="00447075" w:rsidP="00447075">
                    <w:pPr>
                      <w:spacing w:after="0"/>
                      <w:rPr>
                        <w:rFonts w:ascii="Aptos" w:eastAsia="Aptos" w:hAnsi="Aptos" w:cs="Aptos"/>
                        <w:noProof/>
                        <w:color w:val="000000"/>
                        <w:sz w:val="20"/>
                        <w:szCs w:val="20"/>
                      </w:rPr>
                    </w:pPr>
                    <w:r w:rsidRPr="00447075">
                      <w:rPr>
                        <w:rFonts w:ascii="Aptos" w:eastAsia="Aptos" w:hAnsi="Aptos" w:cs="Aptos"/>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E6D28" w14:textId="4D6CBC18" w:rsidR="00447075" w:rsidRDefault="00447075">
    <w:pPr>
      <w:pStyle w:val="Footer"/>
    </w:pPr>
    <w:r>
      <w:rPr>
        <w:noProof/>
      </w:rPr>
      <mc:AlternateContent>
        <mc:Choice Requires="wps">
          <w:drawing>
            <wp:anchor distT="0" distB="0" distL="0" distR="0" simplePos="0" relativeHeight="251658240" behindDoc="0" locked="0" layoutInCell="1" allowOverlap="1" wp14:anchorId="5F78D376" wp14:editId="27BA4E4A">
              <wp:simplePos x="635" y="635"/>
              <wp:positionH relativeFrom="page">
                <wp:align>center</wp:align>
              </wp:positionH>
              <wp:positionV relativeFrom="page">
                <wp:align>bottom</wp:align>
              </wp:positionV>
              <wp:extent cx="504825" cy="371475"/>
              <wp:effectExtent l="0" t="0" r="9525" b="0"/>
              <wp:wrapNone/>
              <wp:docPr id="126623604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04825" cy="371475"/>
                      </a:xfrm>
                      <a:prstGeom prst="rect">
                        <a:avLst/>
                      </a:prstGeom>
                      <a:noFill/>
                      <a:ln>
                        <a:noFill/>
                      </a:ln>
                    </wps:spPr>
                    <wps:txbx>
                      <w:txbxContent>
                        <w:p w14:paraId="647114F7" w14:textId="613E2264" w:rsidR="00447075" w:rsidRPr="00447075" w:rsidRDefault="00447075" w:rsidP="00447075">
                          <w:pPr>
                            <w:spacing w:after="0"/>
                            <w:rPr>
                              <w:rFonts w:ascii="Aptos" w:eastAsia="Aptos" w:hAnsi="Aptos" w:cs="Aptos"/>
                              <w:noProof/>
                              <w:color w:val="000000"/>
                              <w:sz w:val="20"/>
                              <w:szCs w:val="20"/>
                            </w:rPr>
                          </w:pPr>
                          <w:r w:rsidRPr="00447075">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78D376" id="_x0000_t202" coordsize="21600,21600" o:spt="202" path="m,l,21600r21600,l21600,xe">
              <v:stroke joinstyle="miter"/>
              <v:path gradientshapeok="t" o:connecttype="rect"/>
            </v:shapetype>
            <v:shape id="Text Box 1" o:spid="_x0000_s1028" type="#_x0000_t202" alt="OFFICIAL" style="position:absolute;margin-left:0;margin-top:0;width:39.75pt;height:29.2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" filled="f" stroked="f">
              <v:textbox style="mso-fit-shape-to-text:t" inset="0,0,0,15pt">
                <w:txbxContent>
                  <w:p w14:paraId="647114F7" w14:textId="613E2264" w:rsidR="00447075" w:rsidRPr="00447075" w:rsidRDefault="00447075" w:rsidP="00447075">
                    <w:pPr>
                      <w:spacing w:after="0"/>
                      <w:rPr>
                        <w:rFonts w:ascii="Aptos" w:eastAsia="Aptos" w:hAnsi="Aptos" w:cs="Aptos"/>
                        <w:noProof/>
                        <w:color w:val="000000"/>
                        <w:sz w:val="20"/>
                        <w:szCs w:val="20"/>
                      </w:rPr>
                    </w:pPr>
                    <w:r w:rsidRPr="00447075">
                      <w:rPr>
                        <w:rFonts w:ascii="Aptos" w:eastAsia="Aptos" w:hAnsi="Aptos" w:cs="Aptos"/>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0F164" w14:textId="77777777" w:rsidR="00E3078B" w:rsidRDefault="00E3078B" w:rsidP="00447075">
      <w:pPr>
        <w:spacing w:after="0" w:line="240" w:lineRule="auto"/>
      </w:pPr>
      <w:r>
        <w:separator/>
      </w:r>
    </w:p>
  </w:footnote>
  <w:footnote w:type="continuationSeparator" w:id="0">
    <w:p w14:paraId="3675CBA4" w14:textId="77777777" w:rsidR="00E3078B" w:rsidRDefault="00E3078B" w:rsidP="004470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A65"/>
    <w:rsid w:val="00036420"/>
    <w:rsid w:val="000A0E75"/>
    <w:rsid w:val="001156F6"/>
    <w:rsid w:val="00157052"/>
    <w:rsid w:val="00173141"/>
    <w:rsid w:val="00223A65"/>
    <w:rsid w:val="00250E9F"/>
    <w:rsid w:val="002C5017"/>
    <w:rsid w:val="003910CF"/>
    <w:rsid w:val="0039785A"/>
    <w:rsid w:val="0041653F"/>
    <w:rsid w:val="00447075"/>
    <w:rsid w:val="004B48F5"/>
    <w:rsid w:val="005021D0"/>
    <w:rsid w:val="00503BB6"/>
    <w:rsid w:val="00510617"/>
    <w:rsid w:val="005B4EE1"/>
    <w:rsid w:val="00621117"/>
    <w:rsid w:val="006266F4"/>
    <w:rsid w:val="0068164F"/>
    <w:rsid w:val="006B3A87"/>
    <w:rsid w:val="006B6799"/>
    <w:rsid w:val="006D7549"/>
    <w:rsid w:val="008271A2"/>
    <w:rsid w:val="00832027"/>
    <w:rsid w:val="008373D5"/>
    <w:rsid w:val="008436C4"/>
    <w:rsid w:val="008636F4"/>
    <w:rsid w:val="00911F55"/>
    <w:rsid w:val="00954F39"/>
    <w:rsid w:val="0095531E"/>
    <w:rsid w:val="0098001E"/>
    <w:rsid w:val="00980C53"/>
    <w:rsid w:val="00A5124E"/>
    <w:rsid w:val="00A7458A"/>
    <w:rsid w:val="00A77C5C"/>
    <w:rsid w:val="00AC7516"/>
    <w:rsid w:val="00BE7B21"/>
    <w:rsid w:val="00C3423C"/>
    <w:rsid w:val="00C363DD"/>
    <w:rsid w:val="00C50095"/>
    <w:rsid w:val="00C82903"/>
    <w:rsid w:val="00D8224C"/>
    <w:rsid w:val="00E3078B"/>
    <w:rsid w:val="00F14F92"/>
    <w:rsid w:val="00F165EF"/>
    <w:rsid w:val="00F21299"/>
    <w:rsid w:val="2274CE40"/>
    <w:rsid w:val="280229BB"/>
    <w:rsid w:val="2BFF0688"/>
    <w:rsid w:val="2F4F281E"/>
    <w:rsid w:val="39EA53D5"/>
    <w:rsid w:val="54EA8D4C"/>
    <w:rsid w:val="5C03F9C1"/>
    <w:rsid w:val="68A630DF"/>
    <w:rsid w:val="71D553F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8E572"/>
  <w15:chartTrackingRefBased/>
  <w15:docId w15:val="{E4018D9F-5CE8-435D-81DC-F6C7B1424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3A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3A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3A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3A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3A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3A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3A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3A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3A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3A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3A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3A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3A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3A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3A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3A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3A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3A65"/>
    <w:rPr>
      <w:rFonts w:eastAsiaTheme="majorEastAsia" w:cstheme="majorBidi"/>
      <w:color w:val="272727" w:themeColor="text1" w:themeTint="D8"/>
    </w:rPr>
  </w:style>
  <w:style w:type="paragraph" w:styleId="Title">
    <w:name w:val="Title"/>
    <w:basedOn w:val="Normal"/>
    <w:next w:val="Normal"/>
    <w:link w:val="TitleChar"/>
    <w:uiPriority w:val="10"/>
    <w:qFormat/>
    <w:rsid w:val="00223A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3A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3A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3A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3A65"/>
    <w:pPr>
      <w:spacing w:before="160"/>
      <w:jc w:val="center"/>
    </w:pPr>
    <w:rPr>
      <w:i/>
      <w:iCs/>
      <w:color w:val="404040" w:themeColor="text1" w:themeTint="BF"/>
    </w:rPr>
  </w:style>
  <w:style w:type="character" w:customStyle="1" w:styleId="QuoteChar">
    <w:name w:val="Quote Char"/>
    <w:basedOn w:val="DefaultParagraphFont"/>
    <w:link w:val="Quote"/>
    <w:uiPriority w:val="29"/>
    <w:rsid w:val="00223A65"/>
    <w:rPr>
      <w:i/>
      <w:iCs/>
      <w:color w:val="404040" w:themeColor="text1" w:themeTint="BF"/>
    </w:rPr>
  </w:style>
  <w:style w:type="paragraph" w:styleId="ListParagraph">
    <w:name w:val="List Paragraph"/>
    <w:basedOn w:val="Normal"/>
    <w:uiPriority w:val="34"/>
    <w:qFormat/>
    <w:rsid w:val="00223A65"/>
    <w:pPr>
      <w:ind w:left="720"/>
      <w:contextualSpacing/>
    </w:pPr>
  </w:style>
  <w:style w:type="character" w:styleId="IntenseEmphasis">
    <w:name w:val="Intense Emphasis"/>
    <w:basedOn w:val="DefaultParagraphFont"/>
    <w:uiPriority w:val="21"/>
    <w:qFormat/>
    <w:rsid w:val="00223A65"/>
    <w:rPr>
      <w:i/>
      <w:iCs/>
      <w:color w:val="0F4761" w:themeColor="accent1" w:themeShade="BF"/>
    </w:rPr>
  </w:style>
  <w:style w:type="paragraph" w:styleId="IntenseQuote">
    <w:name w:val="Intense Quote"/>
    <w:basedOn w:val="Normal"/>
    <w:next w:val="Normal"/>
    <w:link w:val="IntenseQuoteChar"/>
    <w:uiPriority w:val="30"/>
    <w:qFormat/>
    <w:rsid w:val="00223A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3A65"/>
    <w:rPr>
      <w:i/>
      <w:iCs/>
      <w:color w:val="0F4761" w:themeColor="accent1" w:themeShade="BF"/>
    </w:rPr>
  </w:style>
  <w:style w:type="character" w:styleId="IntenseReference">
    <w:name w:val="Intense Reference"/>
    <w:basedOn w:val="DefaultParagraphFont"/>
    <w:uiPriority w:val="32"/>
    <w:qFormat/>
    <w:rsid w:val="00223A65"/>
    <w:rPr>
      <w:b/>
      <w:bCs/>
      <w:smallCaps/>
      <w:color w:val="0F4761" w:themeColor="accent1" w:themeShade="BF"/>
      <w:spacing w:val="5"/>
    </w:rPr>
  </w:style>
  <w:style w:type="paragraph" w:styleId="Footer">
    <w:name w:val="footer"/>
    <w:basedOn w:val="Normal"/>
    <w:link w:val="FooterChar"/>
    <w:uiPriority w:val="99"/>
    <w:unhideWhenUsed/>
    <w:rsid w:val="004470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7075"/>
  </w:style>
  <w:style w:type="table" w:styleId="TableGrid">
    <w:name w:val="Table Grid"/>
    <w:basedOn w:val="TableNormal"/>
    <w:uiPriority w:val="39"/>
    <w:rsid w:val="00C82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6266F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266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07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47EC0D83517342BF48ECAF3D0FE7A5" ma:contentTypeVersion="19" ma:contentTypeDescription="Create a new document." ma:contentTypeScope="" ma:versionID="d6f164f7b558ed22c3c94b313a4feaab">
  <xsd:schema xmlns:xsd="http://www.w3.org/2001/XMLSchema" xmlns:xs="http://www.w3.org/2001/XMLSchema" xmlns:p="http://schemas.microsoft.com/office/2006/metadata/properties" xmlns:ns1="http://schemas.microsoft.com/sharepoint/v3" xmlns:ns2="39f52ebb-298d-490a-8432-ae788cfce4e2" xmlns:ns3="71701622-6065-471c-989e-c05421908ccb" targetNamespace="http://schemas.microsoft.com/office/2006/metadata/properties" ma:root="true" ma:fieldsID="45e5ae82dce142d71fc236272fd1678b" ns1:_="" ns2:_="" ns3:_="">
    <xsd:import namespace="http://schemas.microsoft.com/sharepoint/v3"/>
    <xsd:import namespace="39f52ebb-298d-490a-8432-ae788cfce4e2"/>
    <xsd:import namespace="71701622-6065-471c-989e-c05421908c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f52ebb-298d-490a-8432-ae788cfce4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3ebb39f-d69b-4575-80f5-9912993956e5"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701622-6065-471c-989e-c05421908cc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1b953415-c854-459e-ad36-5b01f7229ca5}" ma:internalName="TaxCatchAll" ma:showField="CatchAllData" ma:web="71701622-6065-471c-989e-c05421908c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39f52ebb-298d-490a-8432-ae788cfce4e2">
      <Terms xmlns="http://schemas.microsoft.com/office/infopath/2007/PartnerControls"/>
    </lcf76f155ced4ddcb4097134ff3c332f>
    <_ip_UnifiedCompliancePolicyProperties xmlns="http://schemas.microsoft.com/sharepoint/v3" xsi:nil="true"/>
    <TaxCatchAll xmlns="71701622-6065-471c-989e-c05421908ccb" xsi:nil="true"/>
  </documentManagement>
</p:properties>
</file>

<file path=customXml/itemProps1.xml><?xml version="1.0" encoding="utf-8"?>
<ds:datastoreItem xmlns:ds="http://schemas.openxmlformats.org/officeDocument/2006/customXml" ds:itemID="{4ECDA60E-A67F-42C6-8EE1-4FCD5A107AA7}">
  <ds:schemaRefs>
    <ds:schemaRef ds:uri="http://schemas.microsoft.com/sharepoint/v3/contenttype/forms"/>
  </ds:schemaRefs>
</ds:datastoreItem>
</file>

<file path=customXml/itemProps2.xml><?xml version="1.0" encoding="utf-8"?>
<ds:datastoreItem xmlns:ds="http://schemas.openxmlformats.org/officeDocument/2006/customXml" ds:itemID="{B4E5590B-9A07-471F-9ADC-FF315D771C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9f52ebb-298d-490a-8432-ae788cfce4e2"/>
    <ds:schemaRef ds:uri="71701622-6065-471c-989e-c05421908c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87D36D-330D-4F30-AC99-5760DCD13EB9}">
  <ds:schemaRefs>
    <ds:schemaRef ds:uri="http://schemas.microsoft.com/office/2006/metadata/properties"/>
    <ds:schemaRef ds:uri="http://schemas.microsoft.com/office/infopath/2007/PartnerControls"/>
    <ds:schemaRef ds:uri="http://schemas.microsoft.com/sharepoint/v3"/>
    <ds:schemaRef ds:uri="39f52ebb-298d-490a-8432-ae788cfce4e2"/>
    <ds:schemaRef ds:uri="71701622-6065-471c-989e-c05421908ccb"/>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794</Words>
  <Characters>4131</Characters>
  <Application>Microsoft Office Word</Application>
  <DocSecurity>0</DocSecurity>
  <Lines>87</Lines>
  <Paragraphs>47</Paragraphs>
  <ScaleCrop>false</ScaleCrop>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Ferguson, David (CPS)</dc:creator>
  <cp:keywords/>
  <dc:description/>
  <cp:lastModifiedBy>Ferguson, David (CPS)</cp:lastModifiedBy>
  <cp:revision>24</cp:revision>
  <dcterms:created xsi:type="dcterms:W3CDTF">2025-10-22T19:56:00Z</dcterms:created>
  <dcterms:modified xsi:type="dcterms:W3CDTF">2025-10-23T10:34:00Z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0x0101006F47EC0D83517342BF48ECAF3D0FE7A5</vt:lpwstr>
  </property>
  <property fmtid="{D5CDD505-2E9C-101B-9397-08002B2CF9AE}" pid="3" name="MediaServiceImageTags">
    <vt:lpwstr/>
  </property>
  <property fmtid="{D5CDD505-2E9C-101B-9397-08002B2CF9AE}" pid="4" name="ClassificationContentMarkingFooterShapeIds">
    <vt:lpwstr>4b793a89,250e878a,3f3b7e02</vt:lpwstr>
  </property>
  <property fmtid="{D5CDD505-2E9C-101B-9397-08002B2CF9AE}" pid="5" name="ClassificationContentMarkingFooterFontProps">
    <vt:lpwstr>#000000,10,Aptos</vt:lpwstr>
  </property>
  <property fmtid="{D5CDD505-2E9C-101B-9397-08002B2CF9AE}" pid="6" name="ClassificationContentMarkingFooterText">
    <vt:lpwstr>OFFICIAL</vt:lpwstr>
  </property>
  <property fmtid="{D5CDD505-2E9C-101B-9397-08002B2CF9AE}" pid="7" name="MSIP_Label_f9af038e-07b4-4369-a678-c835687cb272_Enabled">
    <vt:lpwstr>true</vt:lpwstr>
  </property>
  <property fmtid="{D5CDD505-2E9C-101B-9397-08002B2CF9AE}" pid="8" name="MSIP_Label_f9af038e-07b4-4369-a678-c835687cb272_SetDate">
    <vt:lpwstr>2025-10-22T11:56:53Z</vt:lpwstr>
  </property>
  <property fmtid="{D5CDD505-2E9C-101B-9397-08002B2CF9AE}" pid="9" name="MSIP_Label_f9af038e-07b4-4369-a678-c835687cb272_Method">
    <vt:lpwstr>Standard</vt:lpwstr>
  </property>
  <property fmtid="{D5CDD505-2E9C-101B-9397-08002B2CF9AE}" pid="10" name="MSIP_Label_f9af038e-07b4-4369-a678-c835687cb272_Name">
    <vt:lpwstr>OFFICIAL</vt:lpwstr>
  </property>
  <property fmtid="{D5CDD505-2E9C-101B-9397-08002B2CF9AE}" pid="11" name="MSIP_Label_f9af038e-07b4-4369-a678-c835687cb272_SiteId">
    <vt:lpwstr>ac52f73c-fd1a-4a9a-8e7a-4a248f3139e1</vt:lpwstr>
  </property>
  <property fmtid="{D5CDD505-2E9C-101B-9397-08002B2CF9AE}" pid="12" name="MSIP_Label_f9af038e-07b4-4369-a678-c835687cb272_ActionId">
    <vt:lpwstr>7d1258db-7f35-4cf2-bf38-374cf157ca50</vt:lpwstr>
  </property>
  <property fmtid="{D5CDD505-2E9C-101B-9397-08002B2CF9AE}" pid="13" name="MSIP_Label_f9af038e-07b4-4369-a678-c835687cb272_ContentBits">
    <vt:lpwstr>2</vt:lpwstr>
  </property>
  <property fmtid="{D5CDD505-2E9C-101B-9397-08002B2CF9AE}" pid="14" name="MSIP_Label_f9af038e-07b4-4369-a678-c835687cb272_Tag">
    <vt:lpwstr>10, 3, 0, 2</vt:lpwstr>
  </property>
</Properties>
</file>